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Layout w:type="fixed"/>
        <w:tblCellMar>
          <w:top w:w="0" w:type="dxa"/>
          <w:left w:w="0" w:type="dxa"/>
          <w:bottom w:w="0" w:type="dxa"/>
          <w:right w:w="0" w:type="dxa"/>
        </w:tblCellMar>
      </w:tblPr>
      <w:tblGrid>
        <w:gridCol w:w="765"/>
        <w:gridCol w:w="1228"/>
        <w:gridCol w:w="1206"/>
        <w:gridCol w:w="1298"/>
        <w:gridCol w:w="1363"/>
        <w:gridCol w:w="2112"/>
        <w:gridCol w:w="1642"/>
        <w:gridCol w:w="1524"/>
        <w:gridCol w:w="1066"/>
        <w:gridCol w:w="1066"/>
        <w:gridCol w:w="1520"/>
      </w:tblGrid>
      <w:tr>
        <w:tblPrEx>
          <w:tblCellMar>
            <w:top w:w="0" w:type="dxa"/>
            <w:left w:w="0" w:type="dxa"/>
            <w:bottom w:w="0" w:type="dxa"/>
            <w:right w:w="0" w:type="dxa"/>
          </w:tblCellMar>
        </w:tblPrEx>
        <w:trPr>
          <w:trHeight w:val="600" w:hRule="atLeast"/>
          <w:jc w:val="center"/>
        </w:trPr>
        <w:tc>
          <w:tcPr>
            <w:tcW w:w="1993" w:type="dxa"/>
            <w:gridSpan w:val="2"/>
            <w:tcBorders>
              <w:top w:val="nil"/>
              <w:left w:val="nil"/>
              <w:bottom w:val="nil"/>
              <w:right w:val="nil"/>
            </w:tcBorders>
            <w:noWrap w:val="0"/>
            <w:tcMar>
              <w:top w:w="15" w:type="dxa"/>
              <w:left w:w="15" w:type="dxa"/>
              <w:right w:w="15" w:type="dxa"/>
            </w:tcMar>
            <w:vAlign w:val="bottom"/>
          </w:tcPr>
          <w:p>
            <w:pPr>
              <w:widowControl/>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附件2</w:t>
            </w:r>
          </w:p>
        </w:tc>
        <w:tc>
          <w:tcPr>
            <w:tcW w:w="1206"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1298"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1363"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2112"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1642"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1524"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1066"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1066" w:type="dxa"/>
            <w:tcBorders>
              <w:top w:val="nil"/>
              <w:left w:val="nil"/>
              <w:bottom w:val="nil"/>
              <w:right w:val="nil"/>
            </w:tcBorders>
            <w:noWrap w:val="0"/>
            <w:tcMar>
              <w:top w:w="15" w:type="dxa"/>
              <w:left w:w="15" w:type="dxa"/>
              <w:right w:w="15" w:type="dxa"/>
            </w:tcMar>
            <w:vAlign w:val="bottom"/>
          </w:tcPr>
          <w:p>
            <w:pPr>
              <w:rPr>
                <w:rFonts w:hint="eastAsia" w:ascii="等线" w:hAnsi="等线" w:eastAsia="等线" w:cs="等线"/>
                <w:color w:val="000000"/>
                <w:sz w:val="22"/>
                <w:szCs w:val="22"/>
              </w:rPr>
            </w:pPr>
          </w:p>
        </w:tc>
        <w:tc>
          <w:tcPr>
            <w:tcW w:w="1520" w:type="dxa"/>
            <w:tcBorders>
              <w:top w:val="nil"/>
              <w:left w:val="nil"/>
              <w:bottom w:val="nil"/>
              <w:right w:val="nil"/>
            </w:tcBorders>
            <w:noWrap w:val="0"/>
            <w:tcMar>
              <w:top w:w="15" w:type="dxa"/>
              <w:left w:w="15" w:type="dxa"/>
              <w:right w:w="15" w:type="dxa"/>
            </w:tcMar>
            <w:vAlign w:val="bottom"/>
          </w:tcPr>
          <w:p>
            <w:pPr>
              <w:jc w:val="center"/>
              <w:rPr>
                <w:rFonts w:hint="eastAsia" w:ascii="等线" w:hAnsi="等线" w:eastAsia="等线" w:cs="等线"/>
                <w:color w:val="000000"/>
                <w:sz w:val="22"/>
                <w:szCs w:val="22"/>
              </w:rPr>
            </w:pPr>
          </w:p>
        </w:tc>
      </w:tr>
      <w:tr>
        <w:tblPrEx>
          <w:tblCellMar>
            <w:top w:w="0" w:type="dxa"/>
            <w:left w:w="0" w:type="dxa"/>
            <w:bottom w:w="0" w:type="dxa"/>
            <w:right w:w="0" w:type="dxa"/>
          </w:tblCellMar>
        </w:tblPrEx>
        <w:trPr>
          <w:trHeight w:val="840" w:hRule="atLeast"/>
          <w:jc w:val="center"/>
        </w:trPr>
        <w:tc>
          <w:tcPr>
            <w:tcW w:w="14790" w:type="dxa"/>
            <w:gridSpan w:val="11"/>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方正小标宋_GBK" w:hAnsi="方正小标宋简体" w:eastAsia="方正小标宋_GBK" w:cs="方正小标宋简体"/>
                <w:color w:val="000000"/>
                <w:sz w:val="44"/>
                <w:szCs w:val="44"/>
              </w:rPr>
            </w:pPr>
            <w:bookmarkStart w:id="0" w:name="_GoBack"/>
            <w:r>
              <w:rPr>
                <w:rFonts w:hint="eastAsia" w:ascii="方正小标宋_GBK" w:hAnsi="方正小标宋简体" w:eastAsia="方正小标宋_GBK" w:cs="方正小标宋简体"/>
                <w:color w:val="000000"/>
                <w:kern w:val="0"/>
                <w:sz w:val="44"/>
                <w:szCs w:val="44"/>
                <w:lang w:bidi="ar"/>
              </w:rPr>
              <w:t>山东省“两高”行业能效改造提升标准（2023年版）</w:t>
            </w:r>
            <w:bookmarkEnd w:id="0"/>
          </w:p>
        </w:tc>
      </w:tr>
      <w:tr>
        <w:tblPrEx>
          <w:tblCellMar>
            <w:top w:w="0" w:type="dxa"/>
            <w:left w:w="0" w:type="dxa"/>
            <w:bottom w:w="0" w:type="dxa"/>
            <w:right w:w="0" w:type="dxa"/>
          </w:tblCellMar>
        </w:tblPrEx>
        <w:trPr>
          <w:trHeight w:val="514"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37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国民经济行业分类及代码</w:t>
            </w:r>
          </w:p>
        </w:tc>
        <w:tc>
          <w:tcPr>
            <w:tcW w:w="347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重点领域</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指标名称</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指标单位</w:t>
            </w:r>
          </w:p>
        </w:tc>
        <w:tc>
          <w:tcPr>
            <w:tcW w:w="1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标杆</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水平</w:t>
            </w:r>
          </w:p>
        </w:tc>
        <w:tc>
          <w:tcPr>
            <w:tcW w:w="1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基准</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水平</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参考标准</w:t>
            </w:r>
          </w:p>
        </w:tc>
      </w:tr>
      <w:tr>
        <w:tblPrEx>
          <w:tblCellMar>
            <w:top w:w="0" w:type="dxa"/>
            <w:left w:w="0" w:type="dxa"/>
            <w:bottom w:w="0" w:type="dxa"/>
            <w:right w:w="0" w:type="dxa"/>
          </w:tblCellMar>
        </w:tblPrEx>
        <w:trPr>
          <w:trHeight w:val="535"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项目大类</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中类</w:t>
            </w: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小类</w:t>
            </w:r>
          </w:p>
        </w:tc>
        <w:tc>
          <w:tcPr>
            <w:tcW w:w="347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w:t>
            </w:r>
          </w:p>
        </w:tc>
        <w:tc>
          <w:tcPr>
            <w:tcW w:w="12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石油、煤炭及其他燃料加加工业（25）</w:t>
            </w: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精炼石油产品制造（251）</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原油加工及石油制品制造（2511）</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炼油</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单位能量因数综合能耗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千克标准油/吨·能量因数</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7.5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8 </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30251</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乙烯</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千克标准油/吨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590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615 </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30250</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PX</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千克标准油/吨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380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465 </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31534</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煤炭加工（252）</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炼焦（2521）</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煤制焦炭</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顶装焦炉</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123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21342</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捣固焦炉</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125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煤制液体燃料生产（2523）</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煤制甲醇</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褐煤</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1550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1775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29436</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烟煤</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1400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1600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无烟煤</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1250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1425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煤制乙二醇</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合成气法</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1000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1175 </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32048</w:t>
            </w:r>
          </w:p>
        </w:tc>
      </w:tr>
      <w:tr>
        <w:tblPrEx>
          <w:tblCellMar>
            <w:top w:w="0" w:type="dxa"/>
            <w:left w:w="0" w:type="dxa"/>
            <w:bottom w:w="0" w:type="dxa"/>
            <w:right w:w="0" w:type="dxa"/>
          </w:tblCellMar>
        </w:tblPrEx>
        <w:trPr>
          <w:trHeight w:val="600"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w:t>
            </w:r>
          </w:p>
        </w:tc>
        <w:tc>
          <w:tcPr>
            <w:tcW w:w="12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化学原料和化学品制造业（26）</w:t>
            </w: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基础化学原料制造（261）</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无机碱制造（2612）</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烧碱</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离子膜法液碱（质量分数，下同）≥30%</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315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333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21257</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离子膜法液碱≥45%</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420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445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离子膜法液碱≥98%</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620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653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48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纯碱</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氨碱法（轻质）</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320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345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29140</w:t>
            </w:r>
          </w:p>
        </w:tc>
      </w:tr>
      <w:tr>
        <w:tblPrEx>
          <w:tblCellMar>
            <w:top w:w="0" w:type="dxa"/>
            <w:left w:w="0" w:type="dxa"/>
            <w:bottom w:w="0" w:type="dxa"/>
            <w:right w:w="0" w:type="dxa"/>
          </w:tblCellMar>
        </w:tblPrEx>
        <w:trPr>
          <w:trHeight w:val="53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联碱法（轻质）</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160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203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547"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氨碱法（重质）</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390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405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联碱法（重质）</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253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无机盐制造（2613）</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电石</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805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873 </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21343</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有机化学原料制造（2614）</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醋酸</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羰基法</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106</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115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29437</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酒精法（空气氧化乙醛）</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400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409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酒精法（氧气氧化乙醛）</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410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420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乙烯法</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280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290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肥料制造（262）</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氮肥制造（2621）</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合成氨</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优质无烟块煤</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1100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1225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21344</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非优质无烟块煤、型煤</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1200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1360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粉煤（包括无烟粉煤、烟煤）</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1350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1450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天然气</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1000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1100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磷肥制造（2622）</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磷酸一铵</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传统法（粒状）</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255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265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29138</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传统法（粉状）</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240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250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料浆法（粒状）</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170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180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料浆法（粉状）</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165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175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磷酸二铵</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传统法（粒状）</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250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263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29139</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料浆法（粒状）</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185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193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20" w:hRule="atLeast"/>
          <w:jc w:val="center"/>
        </w:trPr>
        <w:tc>
          <w:tcPr>
            <w:tcW w:w="765" w:type="dxa"/>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w:t>
            </w:r>
          </w:p>
        </w:tc>
        <w:tc>
          <w:tcPr>
            <w:tcW w:w="1228" w:type="dxa"/>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橡胶和塑料制品业（29）</w:t>
            </w:r>
          </w:p>
        </w:tc>
        <w:tc>
          <w:tcPr>
            <w:tcW w:w="1206" w:type="dxa"/>
            <w:vMerge w:val="restart"/>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橡胶制品业（291）</w:t>
            </w:r>
          </w:p>
        </w:tc>
        <w:tc>
          <w:tcPr>
            <w:tcW w:w="1298" w:type="dxa"/>
            <w:vMerge w:val="restart"/>
            <w:tcBorders>
              <w:top w:val="single" w:color="000000" w:sz="4" w:space="0"/>
              <w:left w:val="single" w:color="000000" w:sz="2"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轮胎制造（2911）</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全钢子午线轮胎</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285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338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29449</w:t>
            </w:r>
          </w:p>
        </w:tc>
      </w:tr>
      <w:tr>
        <w:tblPrEx>
          <w:tblCellMar>
            <w:top w:w="0" w:type="dxa"/>
            <w:left w:w="0" w:type="dxa"/>
            <w:bottom w:w="0" w:type="dxa"/>
            <w:right w:w="0" w:type="dxa"/>
          </w:tblCellMar>
        </w:tblPrEx>
        <w:trPr>
          <w:trHeight w:val="685" w:hRule="atLeast"/>
          <w:jc w:val="center"/>
        </w:trPr>
        <w:tc>
          <w:tcPr>
            <w:tcW w:w="765"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2"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半钢子午线轮胎</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380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400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537" w:hRule="atLeast"/>
          <w:jc w:val="center"/>
        </w:trPr>
        <w:tc>
          <w:tcPr>
            <w:tcW w:w="765"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2"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斜交轮胎</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400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450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89" w:hRule="atLeast"/>
          <w:jc w:val="center"/>
        </w:trPr>
        <w:tc>
          <w:tcPr>
            <w:tcW w:w="765"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2"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工程机械轮胎</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415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535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539" w:hRule="atLeast"/>
          <w:jc w:val="center"/>
        </w:trPr>
        <w:tc>
          <w:tcPr>
            <w:tcW w:w="765"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2"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其他轮胎产品</w:t>
            </w:r>
          </w:p>
        </w:tc>
        <w:tc>
          <w:tcPr>
            <w:tcW w:w="164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万元产值能耗</w:t>
            </w:r>
          </w:p>
        </w:tc>
        <w:tc>
          <w:tcPr>
            <w:tcW w:w="15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pacing w:val="-8"/>
                <w:sz w:val="20"/>
                <w:szCs w:val="20"/>
              </w:rPr>
            </w:pPr>
            <w:r>
              <w:rPr>
                <w:rFonts w:hint="eastAsia" w:ascii="仿宋_GB2312" w:hAnsi="等线" w:eastAsia="仿宋_GB2312" w:cs="仿宋_GB2312"/>
                <w:color w:val="000000"/>
                <w:spacing w:val="-8"/>
                <w:kern w:val="0"/>
                <w:sz w:val="20"/>
                <w:szCs w:val="20"/>
                <w:lang w:bidi="ar"/>
              </w:rPr>
              <w:t>千克标准煤/万元</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148</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255 </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w:t>
            </w:r>
          </w:p>
        </w:tc>
      </w:tr>
      <w:tr>
        <w:tblPrEx>
          <w:tblCellMar>
            <w:top w:w="0" w:type="dxa"/>
            <w:left w:w="0" w:type="dxa"/>
            <w:bottom w:w="0" w:type="dxa"/>
            <w:right w:w="0" w:type="dxa"/>
          </w:tblCellMar>
        </w:tblPrEx>
        <w:trPr>
          <w:trHeight w:val="534" w:hRule="atLeast"/>
          <w:jc w:val="center"/>
        </w:trPr>
        <w:tc>
          <w:tcPr>
            <w:tcW w:w="765" w:type="dxa"/>
            <w:vMerge w:val="restart"/>
            <w:tcBorders>
              <w:top w:val="single" w:color="000000" w:sz="2" w:space="0"/>
              <w:left w:val="single" w:color="000000" w:sz="4" w:space="0"/>
              <w:bottom w:val="single" w:color="000000" w:sz="2"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4</w:t>
            </w:r>
          </w:p>
        </w:tc>
        <w:tc>
          <w:tcPr>
            <w:tcW w:w="1228" w:type="dxa"/>
            <w:vMerge w:val="restart"/>
            <w:tcBorders>
              <w:top w:val="single" w:color="000000" w:sz="2" w:space="0"/>
              <w:left w:val="single" w:color="000000" w:sz="4" w:space="0"/>
              <w:bottom w:val="single" w:color="000000" w:sz="2"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非金属矿物制品业（30）</w:t>
            </w:r>
          </w:p>
        </w:tc>
        <w:tc>
          <w:tcPr>
            <w:tcW w:w="1206" w:type="dxa"/>
            <w:vMerge w:val="restart"/>
            <w:tcBorders>
              <w:top w:val="single" w:color="000000" w:sz="2"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水泥、石灰和石膏制造（301）</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水泥制造（3011）</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水泥熟料</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109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16780</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水泥</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水泥制备</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工段电耗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千瓦时/吨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26</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66"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石灰和石膏制造（3012）</w:t>
            </w:r>
          </w:p>
        </w:tc>
        <w:tc>
          <w:tcPr>
            <w:tcW w:w="1363"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石灰制造</w:t>
            </w:r>
          </w:p>
        </w:tc>
        <w:tc>
          <w:tcPr>
            <w:tcW w:w="211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竖窑</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120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135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w:t>
            </w:r>
          </w:p>
        </w:tc>
      </w:tr>
      <w:tr>
        <w:tblPrEx>
          <w:tblCellMar>
            <w:top w:w="0" w:type="dxa"/>
            <w:left w:w="0" w:type="dxa"/>
            <w:bottom w:w="0" w:type="dxa"/>
            <w:right w:w="0" w:type="dxa"/>
          </w:tblCellMar>
        </w:tblPrEx>
        <w:trPr>
          <w:trHeight w:val="689"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回转窑</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125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140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71"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砖瓦、石材等建筑材料制造（303)</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防水建筑材料制造（3033）</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沥青基防水卷材</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有胎</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千克标准煤/千平方米</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180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190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30184</w:t>
            </w:r>
          </w:p>
        </w:tc>
      </w:tr>
      <w:tr>
        <w:tblPrEx>
          <w:tblCellMar>
            <w:top w:w="0" w:type="dxa"/>
            <w:left w:w="0" w:type="dxa"/>
            <w:bottom w:w="0" w:type="dxa"/>
            <w:right w:w="0" w:type="dxa"/>
          </w:tblCellMar>
        </w:tblPrEx>
        <w:trPr>
          <w:trHeight w:val="695"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无胎</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90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95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玻璃制造（304）</w:t>
            </w:r>
          </w:p>
        </w:tc>
        <w:tc>
          <w:tcPr>
            <w:tcW w:w="1298"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平板玻璃制造(3041）</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平板玻璃（生产能力&gt;800吨/天）</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千克标准煤/重量箱</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8</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10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21340</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注：汽车用平板玻璃能耗修正系数参照此标准</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平板玻璃（500≤生产能力≥800吨/天）</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9.5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12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平板玻璃（生产能力&lt;500吨/天）</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12.5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13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陶瓷制品制造（307）</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建筑陶瓷制品制造（3071）</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吸水率≤0.5%的陶瓷砖</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千克标准煤/平方米</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4</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6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21252</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0.5%&lt;吸水率≤10%的陶瓷砖</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3.7</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吸水率&gt;10%的陶瓷砖</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卫生陶瓷制品制造（3072）</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卫生陶瓷</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465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restart"/>
            <w:tcBorders>
              <w:top w:val="single" w:color="000000" w:sz="2"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5</w:t>
            </w:r>
          </w:p>
        </w:tc>
        <w:tc>
          <w:tcPr>
            <w:tcW w:w="1228" w:type="dxa"/>
            <w:vMerge w:val="restart"/>
            <w:tcBorders>
              <w:top w:val="single" w:color="000000" w:sz="2"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黑色金属冶炼和压延加工业（31）</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炼铁（311）</w:t>
            </w:r>
          </w:p>
        </w:tc>
        <w:tc>
          <w:tcPr>
            <w:tcW w:w="12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炼铁（3110）</w:t>
            </w:r>
          </w:p>
        </w:tc>
        <w:tc>
          <w:tcPr>
            <w:tcW w:w="1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炼铁</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高炉工序</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361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398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21256</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炼钢（312）</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炼钢（3120）</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转炉工序</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电弧炉冶炼</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30吨&lt;公称容量&lt;50吨</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67</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77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32050</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注：电弧炉冶炼全不锈钢单位产品能耗提高10%</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公称容量≥50吨</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61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67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铁合金冶炼（314）</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铁合金冶炼（3140）</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硅铁</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1770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1835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21341</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电炉高碳锰铁</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610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635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锰硅合金</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860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905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高碳铬铁</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710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755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6</w:t>
            </w:r>
          </w:p>
        </w:tc>
        <w:tc>
          <w:tcPr>
            <w:tcW w:w="12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有色金属冶炼和压延加工（32）</w:t>
            </w: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常用有色金属冶炼（321）</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铜冶炼（3211）</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铜精矿冶炼工艺</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铜冶炼工艺（铜精矿-阴极铜）</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260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320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21248</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粗铜工艺（铜精矿-粗铜）</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140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200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阳极铜工艺（铜精矿-阳极铜）</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180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235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电解工序（阳极铜-阴极铜）</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85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98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粗、杂铜冶炼工艺</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粗铜工艺（杂铜-粗铜）</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220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阳极铜工艺（杂铜-阳极铜）</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280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285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阳极铜工艺（粗铜-阳极铜）</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220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245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铜精炼工艺（杂铜-阴极铜）</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350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355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铜精炼工艺（粗铜-阴极铜）</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330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铅锌冶炼（3212）</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铅冶炼</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粗铅工艺</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230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265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21250</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铅电解精炼工序</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110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铅冶炼工艺</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330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375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锌冶炼</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火法炼锌工艺：粗锌</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（精矿-粗锌）</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1450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1535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21249</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火法炼锌工艺：精馏锌</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（精矿-精馏锌）</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1800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1910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96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pacing w:val="-8"/>
                <w:sz w:val="20"/>
                <w:szCs w:val="20"/>
              </w:rPr>
            </w:pPr>
            <w:r>
              <w:rPr>
                <w:rFonts w:hint="eastAsia" w:ascii="仿宋_GB2312" w:hAnsi="等线" w:eastAsia="仿宋_GB2312" w:cs="仿宋_GB2312"/>
                <w:color w:val="000000"/>
                <w:spacing w:val="-8"/>
                <w:kern w:val="0"/>
                <w:sz w:val="20"/>
                <w:szCs w:val="20"/>
                <w:lang w:bidi="ar"/>
              </w:rPr>
              <w:t>湿法炼锌工艺：电锌锌锭</w:t>
            </w:r>
            <w:r>
              <w:rPr>
                <w:rFonts w:hint="eastAsia" w:ascii="仿宋_GB2312" w:hAnsi="等线" w:eastAsia="仿宋_GB2312" w:cs="仿宋_GB2312"/>
                <w:color w:val="000000"/>
                <w:spacing w:val="-8"/>
                <w:kern w:val="0"/>
                <w:sz w:val="20"/>
                <w:szCs w:val="20"/>
                <w:lang w:bidi="ar"/>
              </w:rPr>
              <w:br w:type="textWrapping"/>
            </w:r>
            <w:r>
              <w:rPr>
                <w:rFonts w:hint="eastAsia" w:ascii="仿宋_GB2312" w:hAnsi="等线" w:eastAsia="仿宋_GB2312" w:cs="仿宋_GB2312"/>
                <w:color w:val="000000"/>
                <w:spacing w:val="-8"/>
                <w:kern w:val="0"/>
                <w:sz w:val="20"/>
                <w:szCs w:val="20"/>
                <w:lang w:bidi="ar"/>
              </w:rPr>
              <w:t>（有浸出渣火法处理工艺）</w:t>
            </w:r>
            <w:r>
              <w:rPr>
                <w:rFonts w:hint="eastAsia" w:ascii="仿宋_GB2312" w:hAnsi="等线" w:eastAsia="仿宋_GB2312" w:cs="仿宋_GB2312"/>
                <w:color w:val="000000"/>
                <w:spacing w:val="-8"/>
                <w:kern w:val="0"/>
                <w:sz w:val="20"/>
                <w:szCs w:val="20"/>
                <w:lang w:bidi="ar"/>
              </w:rPr>
              <w:br w:type="textWrapping"/>
            </w:r>
            <w:r>
              <w:rPr>
                <w:rFonts w:hint="eastAsia" w:ascii="仿宋_GB2312" w:hAnsi="等线" w:eastAsia="仿宋_GB2312" w:cs="仿宋_GB2312"/>
                <w:color w:val="000000"/>
                <w:spacing w:val="-8"/>
                <w:kern w:val="0"/>
                <w:sz w:val="20"/>
                <w:szCs w:val="20"/>
                <w:lang w:bidi="ar"/>
              </w:rPr>
              <w:t>（精矿-电锌锌锭）</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1100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1190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10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pacing w:val="-8"/>
                <w:sz w:val="20"/>
                <w:szCs w:val="20"/>
              </w:rPr>
            </w:pPr>
            <w:r>
              <w:rPr>
                <w:rFonts w:hint="eastAsia" w:ascii="仿宋_GB2312" w:hAnsi="等线" w:eastAsia="仿宋_GB2312" w:cs="仿宋_GB2312"/>
                <w:color w:val="000000"/>
                <w:spacing w:val="-8"/>
                <w:kern w:val="0"/>
                <w:sz w:val="20"/>
                <w:szCs w:val="20"/>
                <w:lang w:bidi="ar"/>
              </w:rPr>
              <w:t>湿法炼锌工艺：电锌锌锭</w:t>
            </w:r>
            <w:r>
              <w:rPr>
                <w:rFonts w:hint="eastAsia" w:ascii="仿宋_GB2312" w:hAnsi="等线" w:eastAsia="仿宋_GB2312" w:cs="仿宋_GB2312"/>
                <w:color w:val="000000"/>
                <w:spacing w:val="-8"/>
                <w:kern w:val="0"/>
                <w:sz w:val="20"/>
                <w:szCs w:val="20"/>
                <w:lang w:bidi="ar"/>
              </w:rPr>
              <w:br w:type="textWrapping"/>
            </w:r>
            <w:r>
              <w:rPr>
                <w:rFonts w:hint="eastAsia" w:ascii="仿宋_GB2312" w:hAnsi="等线" w:eastAsia="仿宋_GB2312" w:cs="仿宋_GB2312"/>
                <w:color w:val="000000"/>
                <w:spacing w:val="-8"/>
                <w:kern w:val="0"/>
                <w:sz w:val="20"/>
                <w:szCs w:val="20"/>
                <w:lang w:bidi="ar"/>
              </w:rPr>
              <w:t>（有浸出渣火法处理工艺）</w:t>
            </w:r>
            <w:r>
              <w:rPr>
                <w:rFonts w:hint="eastAsia" w:ascii="仿宋_GB2312" w:hAnsi="等线" w:eastAsia="仿宋_GB2312" w:cs="仿宋_GB2312"/>
                <w:color w:val="000000"/>
                <w:spacing w:val="-8"/>
                <w:kern w:val="0"/>
                <w:sz w:val="20"/>
                <w:szCs w:val="20"/>
                <w:lang w:bidi="ar"/>
              </w:rPr>
              <w:br w:type="textWrapping"/>
            </w:r>
            <w:r>
              <w:rPr>
                <w:rFonts w:hint="eastAsia" w:ascii="仿宋_GB2312" w:hAnsi="等线" w:eastAsia="仿宋_GB2312" w:cs="仿宋_GB2312"/>
                <w:color w:val="000000"/>
                <w:spacing w:val="-8"/>
                <w:kern w:val="0"/>
                <w:sz w:val="20"/>
                <w:szCs w:val="20"/>
                <w:lang w:bidi="ar"/>
              </w:rPr>
              <w:t>（精矿-电锌锌锭）</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800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875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78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湿法炼锌工艺：电锌锌锭</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（氧化锌精矿-电锌锌锭）</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800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875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铝冶炼（3216）</w:t>
            </w:r>
          </w:p>
        </w:tc>
        <w:tc>
          <w:tcPr>
            <w:tcW w:w="3475"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电解铝</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铝液交流电耗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千瓦时/吨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13000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13175 </w:t>
            </w:r>
          </w:p>
        </w:tc>
        <w:tc>
          <w:tcPr>
            <w:tcW w:w="1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21346</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氧化铝</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拜耳法</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单位产品</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综合能耗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千克标准煤/吨</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360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390 </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21346</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其他工艺</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550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 xml:space="preserve">600 </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1220"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7</w:t>
            </w:r>
          </w:p>
        </w:tc>
        <w:tc>
          <w:tcPr>
            <w:tcW w:w="12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金属制品业（33）</w:t>
            </w: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铸造及其他金属制品制造（339）</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黑色金属铸造（3391）</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有色金属铸造（3392）</w:t>
            </w: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铸造（企业无高炉装置）</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万元产值能耗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千克标准煤/万元</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175</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220</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w:t>
            </w:r>
          </w:p>
        </w:tc>
      </w:tr>
      <w:tr>
        <w:tblPrEx>
          <w:tblCellMar>
            <w:top w:w="0" w:type="dxa"/>
            <w:left w:w="0" w:type="dxa"/>
            <w:bottom w:w="0" w:type="dxa"/>
            <w:right w:w="0" w:type="dxa"/>
          </w:tblCellMar>
        </w:tblPrEx>
        <w:trPr>
          <w:trHeight w:val="122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铸造（企业有高炉装置）</w:t>
            </w:r>
          </w:p>
        </w:tc>
        <w:tc>
          <w:tcPr>
            <w:tcW w:w="1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万元产值能耗</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千克标准煤/万元</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1362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1554</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8</w:t>
            </w:r>
          </w:p>
        </w:tc>
        <w:tc>
          <w:tcPr>
            <w:tcW w:w="12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电力、热力生产和供应业（44）</w:t>
            </w:r>
          </w:p>
        </w:tc>
        <w:tc>
          <w:tcPr>
            <w:tcW w:w="1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电力生产（441）、热力生产和供应（443）</w:t>
            </w:r>
          </w:p>
        </w:tc>
        <w:tc>
          <w:tcPr>
            <w:tcW w:w="12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火力发电（4411）、热电联产（4412）、热力生产和供应（4430）</w:t>
            </w:r>
          </w:p>
        </w:tc>
        <w:tc>
          <w:tcPr>
            <w:tcW w:w="13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煤电</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(湿冷机组）</w:t>
            </w: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超超临界（1000MW）</w:t>
            </w:r>
          </w:p>
        </w:tc>
        <w:tc>
          <w:tcPr>
            <w:tcW w:w="16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供电煤耗</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克标准煤/千瓦时</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273</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279</w:t>
            </w:r>
          </w:p>
        </w:tc>
        <w:tc>
          <w:tcPr>
            <w:tcW w:w="1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GB 21258</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DB 37/737</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注：1.基准水平值需根据GB 21258中修正系数进行修正；</w:t>
            </w:r>
            <w:r>
              <w:rPr>
                <w:rFonts w:hint="eastAsia" w:ascii="仿宋_GB2312" w:hAnsi="等线" w:eastAsia="仿宋_GB2312" w:cs="仿宋_GB2312"/>
                <w:color w:val="000000"/>
                <w:kern w:val="0"/>
                <w:sz w:val="20"/>
                <w:szCs w:val="20"/>
                <w:lang w:bidi="ar"/>
              </w:rPr>
              <w:br w:type="textWrapping"/>
            </w:r>
            <w:r>
              <w:rPr>
                <w:rFonts w:hint="eastAsia" w:ascii="仿宋_GB2312" w:hAnsi="等线" w:eastAsia="仿宋_GB2312" w:cs="仿宋_GB2312"/>
                <w:color w:val="000000"/>
                <w:kern w:val="0"/>
                <w:sz w:val="20"/>
                <w:szCs w:val="20"/>
                <w:lang w:bidi="ar"/>
              </w:rPr>
              <w:t>2.未列出的机组容量级别，参照低一档容量级别限额。</w:t>
            </w: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超超临界（600MW）</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276</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284.5</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超临界（600MW）</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294</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297</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超临界（300MW）</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299</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303.5</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亚临界（600MW）</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308</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亚临界（300MW）</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311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317</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82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超高压（200，125MW）</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320</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3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≤100MW</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300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326</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34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煤电（空冷机组、循环流化床机组）</w:t>
            </w:r>
          </w:p>
        </w:tc>
        <w:tc>
          <w:tcPr>
            <w:tcW w:w="16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c>
          <w:tcPr>
            <w:tcW w:w="21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sz w:val="20"/>
                <w:szCs w:val="20"/>
              </w:rPr>
            </w:pPr>
            <w:r>
              <w:rPr>
                <w:rFonts w:hint="eastAsia" w:ascii="仿宋_GB2312" w:hAnsi="等线" w:eastAsia="仿宋_GB2312" w:cs="仿宋_GB2312"/>
                <w:color w:val="000000"/>
                <w:kern w:val="0"/>
                <w:sz w:val="20"/>
                <w:szCs w:val="20"/>
                <w:lang w:bidi="ar"/>
              </w:rPr>
              <w:t>湿冷+15</w:t>
            </w:r>
          </w:p>
        </w:tc>
        <w:tc>
          <w:tcPr>
            <w:tcW w:w="1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color w:val="000000"/>
                <w:sz w:val="20"/>
                <w:szCs w:val="20"/>
              </w:rPr>
            </w:pPr>
          </w:p>
        </w:tc>
      </w:tr>
      <w:tr>
        <w:tblPrEx>
          <w:tblCellMar>
            <w:top w:w="0" w:type="dxa"/>
            <w:left w:w="0" w:type="dxa"/>
            <w:bottom w:w="0" w:type="dxa"/>
            <w:right w:w="0" w:type="dxa"/>
          </w:tblCellMar>
        </w:tblPrEx>
        <w:trPr>
          <w:trHeight w:val="600" w:hRule="atLeast"/>
          <w:jc w:val="center"/>
        </w:trPr>
        <w:tc>
          <w:tcPr>
            <w:tcW w:w="14790" w:type="dxa"/>
            <w:gridSpan w:val="11"/>
            <w:tcBorders>
              <w:top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注：1.各领域标杆水平和基准水平主要参考国家《高耗能行业重点领域能效标杆水平和基准水平（2021版）》以及国家、山东省现行单位产品能耗限额标准的先进值、准入值和限定值，根据山东省行业实际、发展预期、生产装置整体能效等水平确定。统计单位、计算方法等参考相应标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2.表中的高耗能行业重点领域范围和标杆水平、基准水平，视国家和山东省相关文件规定、山东省行业发展情况以及国家和山东省单位产品能耗限额标准制修订情况进行补充完善及动态调整。</w:t>
            </w:r>
          </w:p>
          <w:p>
            <w:pPr>
              <w:widowControl/>
              <w:ind w:firstLine="390"/>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3.沥青防水材料和醋酸不</w:t>
            </w:r>
            <w:r>
              <w:rPr>
                <w:rFonts w:hint="eastAsia" w:ascii="宋体" w:hAnsi="宋体" w:cs="宋体"/>
                <w:color w:val="000000"/>
                <w:kern w:val="0"/>
                <w:sz w:val="20"/>
                <w:szCs w:val="20"/>
                <w:lang w:eastAsia="zh-CN" w:bidi="ar"/>
              </w:rPr>
              <w:t>再</w:t>
            </w:r>
            <w:r>
              <w:rPr>
                <w:rFonts w:hint="eastAsia" w:ascii="宋体" w:hAnsi="宋体" w:cs="宋体"/>
                <w:color w:val="000000"/>
                <w:kern w:val="0"/>
                <w:sz w:val="20"/>
                <w:szCs w:val="20"/>
                <w:lang w:bidi="ar"/>
              </w:rPr>
              <w:t>作为“两高”项目，但应当按照上述标准进行能效改造提升。</w:t>
            </w:r>
          </w:p>
          <w:p>
            <w:pPr>
              <w:jc w:val="both"/>
              <w:rPr>
                <w:rFonts w:hint="eastAsia" w:ascii="仿宋_GB2312" w:hAnsi="等线" w:eastAsia="仿宋_GB2312" w:cs="仿宋_GB2312"/>
                <w:color w:val="00000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YmI2YzQ0MTY3Y2Y2YTQ3ZTEyY2VlNWY3ZWE5YjEifQ=="/>
  </w:docVars>
  <w:rsids>
    <w:rsidRoot w:val="51EC1DFB"/>
    <w:rsid w:val="51EC1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2023-01-31T07:25:00Z</dcterms:created>
  <dc:creator>美女的爸爸</dc:creator>
  <cp:lastModifiedBy>美女的爸爸</cp:lastModifiedBy>
  <dcterms:modified xsi:type="dcterms:W3CDTF">2023-01-31T07:26:21Z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866101CC0ABC40EFBB0036EE5D6902AD</vt:lpwstr>
  </property>
</Properties>
</file>